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86MS0080-</w:t>
      </w:r>
      <w:r>
        <w:rPr>
          <w:rStyle w:val="cat-PhoneNumbergrp-39rplc-0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Style w:val="cat-PhoneNumbergrp-40rplc-1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-47</w:t>
      </w:r>
    </w:p>
    <w:p>
      <w:pPr>
        <w:spacing w:before="0" w:after="0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Дело № 5-</w:t>
      </w:r>
      <w:r>
        <w:rPr>
          <w:rFonts w:ascii="Times New Roman" w:eastAsia="Times New Roman" w:hAnsi="Times New Roman" w:cs="Times New Roman"/>
          <w:sz w:val="27"/>
          <w:szCs w:val="27"/>
        </w:rPr>
        <w:t>0688/2806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(резолютивная часть постановления оглашена </w:t>
      </w:r>
      <w:r>
        <w:rPr>
          <w:rStyle w:val="cat-Dategrp-12rplc-2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</w:p>
    <w:p>
      <w:pPr>
        <w:spacing w:before="0" w:after="0"/>
        <w:jc w:val="center"/>
        <w:rPr>
          <w:sz w:val="27"/>
          <w:szCs w:val="27"/>
        </w:rPr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5"/>
        <w:gridCol w:w="4781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7"/>
                <w:szCs w:val="27"/>
              </w:rPr>
            </w:pPr>
            <w:r>
              <w:rPr>
                <w:rStyle w:val="cat-Addressgrp-0rplc-3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7"/>
                <w:szCs w:val="27"/>
              </w:rPr>
              <w:t>адрес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  <w:sz w:val="27"/>
                <w:szCs w:val="27"/>
              </w:rPr>
            </w:pPr>
            <w:r>
              <w:rPr>
                <w:rStyle w:val="cat-Dategrp-13rplc-4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7"/>
                <w:szCs w:val="27"/>
              </w:rPr>
              <w:t>дата</w:t>
            </w:r>
          </w:p>
        </w:tc>
      </w:tr>
    </w:tbl>
    <w:p>
      <w:pPr>
        <w:spacing w:before="0" w:after="0"/>
        <w:ind w:firstLine="709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№6 Ханты-Мансийского судебного района </w:t>
      </w:r>
      <w:r>
        <w:rPr>
          <w:rStyle w:val="cat-Addressgrp-1rplc-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FIOgrp-26rplc-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>
        <w:rPr>
          <w:rStyle w:val="cat-Addressgrp-2rplc-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),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об административном правонарушении в отношении: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Style w:val="cat-OrganizationNamegrp-35rplc-8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(далее – </w:t>
      </w:r>
      <w:r>
        <w:rPr>
          <w:rStyle w:val="cat-OrganizationNamegrp-36rplc-9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), ОГРН </w:t>
      </w:r>
      <w:r>
        <w:rPr>
          <w:rFonts w:ascii="Times New Roman" w:eastAsia="Times New Roman" w:hAnsi="Times New Roman" w:cs="Times New Roman"/>
          <w:sz w:val="27"/>
          <w:szCs w:val="27"/>
        </w:rPr>
        <w:t>1068601011720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ИНН </w:t>
      </w:r>
      <w:r>
        <w:rPr>
          <w:rStyle w:val="cat-PhoneNumbergrp-41rplc-10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дата регистрации: </w:t>
      </w:r>
      <w:r>
        <w:rPr>
          <w:rStyle w:val="cat-Dategrp-14rplc-11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юридический адрес: </w:t>
      </w:r>
      <w:r>
        <w:rPr>
          <w:rStyle w:val="cat-Addressgrp-3rplc-12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 совершении административного правонарушения, предусмотренного ч. 24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19.5 Кодекса Российской Федерации об административных правонарушениях (далее – КоАП РФ), 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Style w:val="cat-Dategrp-15rplc-13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Style w:val="cat-OrganizationNamegrp-36rplc-14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зарегистрированн</w:t>
      </w:r>
      <w:r>
        <w:rPr>
          <w:rFonts w:ascii="Times New Roman" w:eastAsia="Times New Roman" w:hAnsi="Times New Roman" w:cs="Times New Roman"/>
          <w:sz w:val="27"/>
          <w:szCs w:val="27"/>
        </w:rPr>
        <w:t>ое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</w:t>
      </w:r>
      <w:r>
        <w:rPr>
          <w:rStyle w:val="cat-Addressgrp-3rplc-1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выполнило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установленный срок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 </w:t>
      </w:r>
      <w:r>
        <w:rPr>
          <w:rStyle w:val="cat-Dategrp-16rplc-16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включительно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законное предписание Службы жилищного и строительного надзора </w:t>
      </w:r>
      <w:r>
        <w:rPr>
          <w:rStyle w:val="cat-Addressgrp-1rplc-1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7rplc-18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</w:t>
      </w:r>
      <w:r>
        <w:rPr>
          <w:rFonts w:ascii="Times New Roman" w:eastAsia="Times New Roman" w:hAnsi="Times New Roman" w:cs="Times New Roman"/>
          <w:sz w:val="27"/>
          <w:szCs w:val="27"/>
        </w:rPr>
        <w:t>12-55-2</w:t>
      </w:r>
      <w:r>
        <w:rPr>
          <w:rFonts w:ascii="Times New Roman" w:eastAsia="Times New Roman" w:hAnsi="Times New Roman" w:cs="Times New Roman"/>
          <w:sz w:val="27"/>
          <w:szCs w:val="27"/>
        </w:rPr>
        <w:t>/ЛК</w:t>
      </w:r>
      <w:r>
        <w:rPr>
          <w:rFonts w:ascii="Times New Roman" w:eastAsia="Times New Roman" w:hAnsi="Times New Roman" w:cs="Times New Roman"/>
          <w:sz w:val="27"/>
          <w:szCs w:val="27"/>
        </w:rPr>
        <w:t>-2026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исполнило </w:t>
      </w:r>
      <w:r>
        <w:rPr>
          <w:rFonts w:ascii="Times New Roman" w:eastAsia="Times New Roman" w:hAnsi="Times New Roman" w:cs="Times New Roman"/>
          <w:sz w:val="27"/>
          <w:szCs w:val="27"/>
        </w:rPr>
        <w:t>пункты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предписания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pacing w:val="30"/>
          <w:sz w:val="27"/>
          <w:szCs w:val="27"/>
        </w:rPr>
        <w:t>1,3,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4, 5, 7 предписания № 12-55-2/</w:t>
      </w:r>
      <w:r>
        <w:rPr>
          <w:rFonts w:ascii="Times New Roman" w:eastAsia="Times New Roman" w:hAnsi="Times New Roman" w:cs="Times New Roman"/>
          <w:sz w:val="27"/>
          <w:szCs w:val="27"/>
        </w:rPr>
        <w:t>JIK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-2026 от </w:t>
      </w:r>
      <w:r>
        <w:rPr>
          <w:rStyle w:val="cat-Dategrp-17rplc-19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Дата выявления правонарушения – </w:t>
      </w:r>
      <w:r>
        <w:rPr>
          <w:rStyle w:val="cat-Dategrp-18rplc-2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контрольном осмотре </w:t>
      </w:r>
      <w:r>
        <w:rPr>
          <w:rStyle w:val="cat-Dategrp-18rplc-21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Style w:val="cat-Timegrp-37rplc-22"/>
          <w:rFonts w:ascii="Times New Roman" w:eastAsia="Times New Roman" w:hAnsi="Times New Roman" w:cs="Times New Roman"/>
          <w:sz w:val="27"/>
          <w:szCs w:val="27"/>
        </w:rPr>
        <w:t>время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целях оценки исполнения пунктов № 1, 3, 4, 5, 7 предписания № 12-55-2/JIK-2026 от </w:t>
      </w:r>
      <w:r>
        <w:rPr>
          <w:rStyle w:val="cat-Dategrp-17rplc-23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проведён осмотр общего имущества многоквартирных домов по адресам: </w:t>
      </w:r>
      <w:r>
        <w:rPr>
          <w:rStyle w:val="cat-Addressgrp-4rplc-2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Addressgrp-5rplc-2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Addressgrp-6rplc-2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. Установлено, что устранение указанных нарушений не обеспечено. При осмотре выявлены следующие недостатки: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в доме № 10 по </w:t>
      </w:r>
      <w:r>
        <w:rPr>
          <w:rStyle w:val="cat-Addressgrp-7rplc-2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: не устранена неисправность гидравлического доводчика на входной двери подъезда № 2 (дверь закрывается с ударом, сопровождается повышенным уровнем шума); не отремонтировано кодовое запирающее устройство на двери запасного выхода подъезда № 2 (западание кнопки 8); не восстановлена дворовая скамья у подъезда № 1 (демонтирована, меры по восстановлению или замене не приняты);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в доме № 15 по </w:t>
      </w:r>
      <w:r>
        <w:rPr>
          <w:rStyle w:val="cat-Addressgrp-7rplc-28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: на площадке накопления ТКО сохраняется переполнение мусорных контейнеров отходами, бетонное основание в границах ограждения площадки находится в захламленном состоянии (строительный и бытовой мусор, автомобильные покрышки);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в доме № 5 по </w:t>
      </w:r>
      <w:r>
        <w:rPr>
          <w:rStyle w:val="cat-Addressgrp-8rplc-29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: люк, ведущий в чердачное помещение подъезда № 4, находится в открытом состоянии, запирающее устройство отсутствует, обеспечен свободный доступ посторонних лиц на чердак; чердачное помещение захламлено бытовым мусором и картонными коробками, имеются биологические остатки мертвой птицы, бетонная поверхность перекрытия покрыта слоем птичьего помета, освещение на момент осмотра выключено.</w:t>
      </w:r>
    </w:p>
    <w:p>
      <w:pPr>
        <w:spacing w:before="0" w:after="0"/>
        <w:ind w:left="60" w:right="80"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рассмотрении дела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государственный жилищный инспектор Ханты-Мансийского отдела инспектирования Службы жилищного и строительного надзора ХМАО-Югры </w:t>
      </w:r>
      <w:r>
        <w:rPr>
          <w:rStyle w:val="cat-FIOgrp-27rplc-30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после оглашения судом материалов дела подтвердил обстоятельства административного правонарушения, указанные в протоколе об административном правонарушении в полном объеме. Сообщил, что предписание не было исполнено в установленный срок в полном объеме. </w:t>
      </w:r>
      <w:r>
        <w:rPr>
          <w:rStyle w:val="cat-OrganizationNamegrp-36rplc-31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сообщало о мерах, принятых во исполнение предписания до настоящего времени.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Факт неполного устранения исполнения предписания был установлен по итогам контрольного (надзорного) мероприятия. Датой правонарушения является – </w:t>
      </w:r>
      <w:r>
        <w:rPr>
          <w:rStyle w:val="cat-Dategrp-15rplc-32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. Просил назначить наказание на усмотрение суда в пределах санкции статьи.</w:t>
      </w:r>
    </w:p>
    <w:p>
      <w:pPr>
        <w:spacing w:before="0" w:after="0"/>
        <w:ind w:left="60" w:right="80"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Заместитель руководителя </w:t>
      </w:r>
      <w:r>
        <w:rPr>
          <w:rFonts w:ascii="Times New Roman" w:eastAsia="Times New Roman" w:hAnsi="Times New Roman" w:cs="Times New Roman"/>
          <w:sz w:val="27"/>
          <w:szCs w:val="27"/>
        </w:rPr>
        <w:t>Службы жилищного и строительного надзора ХМАО-Югры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начальник Ханты-Мансийского отдела инспектирования </w:t>
      </w:r>
      <w:r>
        <w:rPr>
          <w:rStyle w:val="cat-FIOgrp-28rplc-33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подтвердил обстоятельства административного правонарушения, указанные в протоколе об административном правонарушении в полном объеме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Дополнив, что датой правонарушения является </w:t>
      </w:r>
      <w:r>
        <w:rPr>
          <w:rStyle w:val="cat-Dategrp-15rplc-34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то есть следующий день после истечения срока указанного в представлении данного для устранения недостатков, которые в полном объеме </w:t>
      </w:r>
      <w:r>
        <w:rPr>
          <w:rStyle w:val="cat-OrganizationNamegrp-36rplc-35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устранены не были.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Просил назначить наказание на усмотрение суда в пределах санкции статьи. Указывал, что оснований для назначения наказания в минимальном размере не имеется, исключительные обстоятельства отсутствуют, учитывая характер правонарушения.</w:t>
      </w:r>
    </w:p>
    <w:p>
      <w:pPr>
        <w:spacing w:before="0" w:after="0"/>
        <w:ind w:left="60" w:right="80" w:firstLine="567"/>
        <w:jc w:val="both"/>
        <w:rPr>
          <w:sz w:val="27"/>
          <w:szCs w:val="27"/>
        </w:rPr>
      </w:pPr>
      <w:r>
        <w:rPr>
          <w:rStyle w:val="cat-OrganizationNamegrp-36rplc-36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его законный представитель извещенные надлежащим образом, </w:t>
      </w:r>
      <w:r>
        <w:rPr>
          <w:rFonts w:ascii="Times New Roman" w:eastAsia="Times New Roman" w:hAnsi="Times New Roman" w:cs="Times New Roman"/>
          <w:sz w:val="27"/>
          <w:szCs w:val="27"/>
        </w:rPr>
        <w:t>в судебное заседание не явились</w:t>
      </w:r>
      <w:r>
        <w:rPr>
          <w:rFonts w:ascii="Times New Roman" w:eastAsia="Times New Roman" w:hAnsi="Times New Roman" w:cs="Times New Roman"/>
          <w:sz w:val="27"/>
          <w:szCs w:val="27"/>
        </w:rPr>
        <w:t>; о причинах неявки не сообщил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, об отложении рассмотрения дела не просил</w:t>
      </w:r>
      <w:r>
        <w:rPr>
          <w:rFonts w:ascii="Times New Roman" w:eastAsia="Times New Roman" w:hAnsi="Times New Roman" w:cs="Times New Roman"/>
          <w:sz w:val="27"/>
          <w:szCs w:val="27"/>
        </w:rPr>
        <w:t>и, иных ходатайств не заявляли, позицию по делу не выразили. Тем самым реализовали свое право на участие в судебном заседании и защиту по своему усмотрению.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ч. 3 ст. 25.4, п. 4 ч. 1 ст. 29.7 КоАП РФ, мировой судья определил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Style w:val="cat-OrganizationNamegrp-36rplc-37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частью 24 статьи 19.5 Кодекса Российской Федерации об административных правонарушениях невыполнение или ненадлежащее выполнение в установленный срок законного предписания органа, осуществляющего региональный государственный жилищный надзор, в том числе лицензионный контроль в сфере осуществления предпринимательской деятельности по управлению многоквартирными домами, об устранении нарушений лицензионных требований, за исключением случаев, предусмотренных частью 24.1 настоящей статьи, влечет наложение административного штрафа на должностных лиц в размере от пятидесяти тысяч до </w:t>
      </w:r>
      <w:r>
        <w:rPr>
          <w:rStyle w:val="cat-SumInWordsgrp-30rplc-38"/>
          <w:rFonts w:ascii="Times New Roman" w:eastAsia="Times New Roman" w:hAnsi="Times New Roman" w:cs="Times New Roman"/>
          <w:sz w:val="27"/>
          <w:szCs w:val="27"/>
        </w:rPr>
        <w:t>сумма прописью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или дисквалификацию на срок до трех лет; на юридических лиц - от двухсот тысяч до </w:t>
      </w:r>
      <w:r>
        <w:rPr>
          <w:rStyle w:val="cat-SumInWordsgrp-31rplc-39"/>
          <w:rFonts w:ascii="Times New Roman" w:eastAsia="Times New Roman" w:hAnsi="Times New Roman" w:cs="Times New Roman"/>
          <w:sz w:val="27"/>
          <w:szCs w:val="27"/>
        </w:rPr>
        <w:t>сумма прописью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пункту 51 части 1 статьи 12 Федерал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ьного закона от </w:t>
      </w:r>
      <w:r>
        <w:rPr>
          <w:rStyle w:val="cat-Dategrp-19rplc-4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99-ФЗ "О лицензировании отдельных видов деяте</w:t>
      </w:r>
      <w:r>
        <w:rPr>
          <w:rFonts w:ascii="Times New Roman" w:eastAsia="Times New Roman" w:hAnsi="Times New Roman" w:cs="Times New Roman"/>
          <w:sz w:val="27"/>
          <w:szCs w:val="27"/>
        </w:rPr>
        <w:t>льности</w:t>
      </w:r>
      <w:r>
        <w:rPr>
          <w:rFonts w:ascii="Times New Roman" w:eastAsia="Times New Roman" w:hAnsi="Times New Roman" w:cs="Times New Roman"/>
          <w:sz w:val="27"/>
          <w:szCs w:val="27"/>
        </w:rPr>
        <w:t>"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(далее Федеральный закон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99-ФЗ) предпринимательская деятельность по управлению многоквартирными домами подлежит лицензированию.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Лицензионные требования устанавливаются положениями о лицензировании конкретных видов деятельности, утверждаемыми Правительством Российской Федерации (часть 1 статьи 8 Федерального закона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99-ФЗ).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части 1 статьи 193 Жилищного кодекса Российской Федерации приведен перечень лицензионных требований, при этом согласно пункту 7 части 1 данной статьи часть лицензионных требований устанавливается Правительством Российской Федерации.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Постановлением Правительства Российской 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едерации от </w:t>
      </w:r>
      <w:r>
        <w:rPr>
          <w:rStyle w:val="cat-Dategrp-20rplc-41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1110 "О лицензировании предпринимательской деятельности по управлению многоквартирными домами" утверждено Положение о лицензировании предпринимательской деятельности по управлению многоквартирными домами (далее - Положение о лицензировании).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пункта 3 Положения о лицензировании лицензионными требованиями к лицензиату помимо требований, предусмотренных статьей 193 Жилищного кодекса Российской Федерации, являются, в том числе следующие требования: соблюдение требований, предусмотренных частью 2.3 статьи 161 Жилищного кодекса Российской Федерации; исполнение обязанностей по договору управления многоквартирным домом, предусмотренных частью 2 статьи 162 Жилищного кодекса Российской Федерации.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 положений части 1 статьи 161 Жилищного кодекса Российской Федерации следует, что 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частью 2.3 статьи 161 Жилищного кодекса Российской Федерации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</w:t>
      </w:r>
      <w:r>
        <w:rPr>
          <w:rStyle w:val="cat-CarMakeModelgrp-38rplc-42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газоснабжения, или в случаях, предусмотренных статьей 157.2 названного Кодекса, за обеспечение готовности инженерных систем.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части 2 статьи 162 Жилищного кодекса Российской Федерации 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Кодекса Российской Федерации об административных правонарушениях, либо в случае, предусмотренном частью 14 статьи 161 Кодекса Российской Федерации об административных правонарушениях,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Кодекса Российской Федерации об административных правонарушениях, обеспечить готовность инженерных систем, осуществлять иную направленную на достижение целей управления многоквартирным домом деятельность.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Как следует из материалов дела, </w:t>
      </w:r>
      <w:r>
        <w:rPr>
          <w:rStyle w:val="cat-OrganizationNamegrp-36rplc-43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осуществляет деятельность по управлению многоквартирными домами на основании лицензии.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ходе внеплановой выездной проверки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в отношении контролируемого лица </w:t>
      </w:r>
      <w:r>
        <w:rPr>
          <w:rStyle w:val="cat-OrganizationNamegrp-36rplc-44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выявлены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нарушения обязательных требований при управлении многоквартирны</w:t>
      </w:r>
      <w:r>
        <w:rPr>
          <w:rFonts w:ascii="Times New Roman" w:eastAsia="Times New Roman" w:hAnsi="Times New Roman" w:cs="Times New Roman"/>
          <w:sz w:val="27"/>
          <w:szCs w:val="27"/>
        </w:rPr>
        <w:t>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дом</w:t>
      </w:r>
      <w:r>
        <w:rPr>
          <w:rFonts w:ascii="Times New Roman" w:eastAsia="Times New Roman" w:hAnsi="Times New Roman" w:cs="Times New Roman"/>
          <w:sz w:val="27"/>
          <w:szCs w:val="27"/>
        </w:rPr>
        <w:t>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адресам: </w:t>
      </w:r>
      <w:r>
        <w:rPr>
          <w:rStyle w:val="cat-Addressgrp-4rplc-4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Addressgrp-5rplc-4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Addressgrp-6rplc-4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связи с выявленными нарушениями </w:t>
      </w:r>
      <w:r>
        <w:rPr>
          <w:rStyle w:val="cat-OrganizationNamegrp-36rplc-48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выдано предписание об устранении нарушений обязательных требований № 12-55-2/</w:t>
      </w:r>
      <w:r>
        <w:rPr>
          <w:rFonts w:ascii="Times New Roman" w:eastAsia="Times New Roman" w:hAnsi="Times New Roman" w:cs="Times New Roman"/>
          <w:sz w:val="27"/>
          <w:szCs w:val="27"/>
        </w:rPr>
        <w:t>JIK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-2026 от </w:t>
      </w:r>
      <w:r>
        <w:rPr>
          <w:rStyle w:val="cat-Dategrp-17rplc-49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Названным предписанием обществу предписано устранить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выявленные нарушения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срок до </w:t>
      </w:r>
      <w:r>
        <w:rPr>
          <w:rStyle w:val="cat-Dategrp-21rplc-5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включительно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Style w:val="cat-Dategrp-22rplc-51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предписание получено представителем общества.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дату истечения срока исполнения предписания </w:t>
      </w:r>
      <w:r>
        <w:rPr>
          <w:rStyle w:val="cat-OrganizationNamegrp-36rplc-52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продолжал осуществлять управление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многоквартирными домами по адресам: </w:t>
      </w:r>
      <w:r>
        <w:rPr>
          <w:rStyle w:val="cat-Addressgrp-4rplc-53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Addressgrp-5rplc-5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Addressgrp-6rplc-5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связи с истечением срока исполнения предписания </w:t>
      </w:r>
      <w:r>
        <w:rPr>
          <w:rFonts w:ascii="Times New Roman" w:eastAsia="Times New Roman" w:hAnsi="Times New Roman" w:cs="Times New Roman"/>
          <w:sz w:val="27"/>
          <w:szCs w:val="27"/>
        </w:rPr>
        <w:t>№ 12-55-2/</w:t>
      </w:r>
      <w:r>
        <w:rPr>
          <w:rFonts w:ascii="Times New Roman" w:eastAsia="Times New Roman" w:hAnsi="Times New Roman" w:cs="Times New Roman"/>
          <w:sz w:val="27"/>
          <w:szCs w:val="27"/>
        </w:rPr>
        <w:t>JIK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-2026 от </w:t>
      </w:r>
      <w:r>
        <w:rPr>
          <w:rStyle w:val="cat-Dategrp-17rplc-56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решения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Style w:val="cat-Dategrp-23rplc-57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27.12.-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Пр-КНО-122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рамках регионального государственного лицензионного контроля в отношении </w:t>
      </w:r>
      <w:r>
        <w:rPr>
          <w:rStyle w:val="cat-OrganizationNamegrp-36rplc-58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Dategrp-18rplc-59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проведен внеплановый инспекционный визит.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результатам инспекционного визита должностным лицом выявлено, что часть требований предписания не исполнена, исполнена ненадлежащим образом: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в доме № 10 по </w:t>
      </w:r>
      <w:r>
        <w:rPr>
          <w:rStyle w:val="cat-Addressgrp-7rplc-60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: не устранена неисправность гидравлического доводчика на входной двери подъезда № 2 (дверь закрывается с ударом, сопровождается повышенным уровнем шума); не отремонтировано кодовое запирающее устройство на двери запасного выхода подъезда № 2 (западание кнопки 8); не восстановлена дворовая скамья у подъезда № 1 (демонтирована, меры по восстановлению или замене не приняты);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в доме № 15 по </w:t>
      </w:r>
      <w:r>
        <w:rPr>
          <w:rStyle w:val="cat-Addressgrp-7rplc-61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: на площадке накопления ТКО сохраняется переполнение мусорных контейнеров отходами, бетонное основание в границах ограждения площадки находится в захламленном состоянии (строительный и бытовой мусор, автомобильные покрышки);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в доме № 5 по </w:t>
      </w:r>
      <w:r>
        <w:rPr>
          <w:rStyle w:val="cat-Addressgrp-8rplc-62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: люк, ведущий в чердачное помещение подъезда № 4, находится в открытом состоянии, запирающее устройство отсутствует, обеспечен свободный доступ посторонних лиц на чердак; чердачное помещение захламлено бытовым мусором и картонными коробками, имеются биологические остатки мертвой птицы, бетонная поверхность перекрытия покрыта слоем птичьего помета, освещение на момент осмотра выключено.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Результаты инспекционного визита со сведениями о данных нарушениях отражены в акте 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Dategrp-18rplc-63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12-67/ЛК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связи с указанными обстоятельствами в отношении </w:t>
      </w:r>
      <w:r>
        <w:rPr>
          <w:rStyle w:val="cat-OrganizationNamegrp-36rplc-64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составлен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 об административном правонарушении, предусмотренном частью 24 статьи 19.5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Style w:val="cat-OrganizationNamegrp-36rplc-65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предусмотренного ч. 24 ст. 19.5 КоАП РФ полностью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установлена 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доказана,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 только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показаниями лиц, присутствовавших в судебном заседании, но и совокупностью следующих доказательств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об административном правонарушении от </w:t>
      </w:r>
      <w:r>
        <w:rPr>
          <w:rStyle w:val="cat-Dategrp-24rplc-66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</w:t>
      </w:r>
      <w:r>
        <w:rPr>
          <w:rFonts w:ascii="Times New Roman" w:eastAsia="Times New Roman" w:hAnsi="Times New Roman" w:cs="Times New Roman"/>
          <w:sz w:val="27"/>
          <w:szCs w:val="27"/>
        </w:rPr>
        <w:t>23-ЛК-ХМ/2026,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составленным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присутствии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Style w:val="cat-OrganizationNamegrp-36rplc-67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Style w:val="cat-Addressgrp-9rplc-68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, в котором подробно изложены обстоятельства административного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предписания государственного жилищного инспектора Службы жилищного и строительного надзора </w:t>
      </w:r>
      <w:r>
        <w:rPr>
          <w:rStyle w:val="cat-Addressgrp-1rplc-69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7rplc-7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№12-</w:t>
      </w:r>
      <w:r>
        <w:rPr>
          <w:rFonts w:ascii="Times New Roman" w:eastAsia="Times New Roman" w:hAnsi="Times New Roman" w:cs="Times New Roman"/>
          <w:sz w:val="27"/>
          <w:szCs w:val="27"/>
        </w:rPr>
        <w:t>55-2</w:t>
      </w:r>
      <w:r>
        <w:rPr>
          <w:rFonts w:ascii="Times New Roman" w:eastAsia="Times New Roman" w:hAnsi="Times New Roman" w:cs="Times New Roman"/>
          <w:sz w:val="27"/>
          <w:szCs w:val="27"/>
        </w:rPr>
        <w:t>/ЛК</w:t>
      </w:r>
      <w:r>
        <w:rPr>
          <w:rFonts w:ascii="Times New Roman" w:eastAsia="Times New Roman" w:hAnsi="Times New Roman" w:cs="Times New Roman"/>
          <w:sz w:val="27"/>
          <w:szCs w:val="27"/>
        </w:rPr>
        <w:t>-2026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срок исполнения которого до </w:t>
      </w:r>
      <w:r>
        <w:rPr>
          <w:rStyle w:val="cat-Dategrp-16rplc-71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включительно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решением о проведении инспекционного визита от </w:t>
      </w:r>
      <w:r>
        <w:rPr>
          <w:rStyle w:val="cat-Dategrp-23rplc-72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актом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инспекционного визита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Style w:val="cat-Dategrp-18rplc-73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№12-</w:t>
      </w:r>
      <w:r>
        <w:rPr>
          <w:rFonts w:ascii="Times New Roman" w:eastAsia="Times New Roman" w:hAnsi="Times New Roman" w:cs="Times New Roman"/>
          <w:sz w:val="27"/>
          <w:szCs w:val="27"/>
        </w:rPr>
        <w:t>67</w:t>
      </w:r>
      <w:r>
        <w:rPr>
          <w:rFonts w:ascii="Times New Roman" w:eastAsia="Times New Roman" w:hAnsi="Times New Roman" w:cs="Times New Roman"/>
          <w:sz w:val="27"/>
          <w:szCs w:val="27"/>
        </w:rPr>
        <w:t>/ЛК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где указано на частичное исполнение предписания </w:t>
      </w:r>
      <w:r>
        <w:rPr>
          <w:rStyle w:val="cat-Dategrp-17rplc-74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№12-55-2/ЛК-2026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осмотра от </w:t>
      </w:r>
      <w:r>
        <w:rPr>
          <w:rStyle w:val="cat-Dategrp-18rplc-75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предписанием об устранении нарушений обязательных требований №12-67/ЛК-2026 от </w:t>
      </w:r>
      <w:r>
        <w:rPr>
          <w:rStyle w:val="cat-Dategrp-18rplc-76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актом оценки исполнения предписания от </w:t>
      </w:r>
      <w:r>
        <w:rPr>
          <w:rStyle w:val="cat-Dategrp-18rplc-77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из которого следует, что предписание от </w:t>
      </w:r>
      <w:r>
        <w:rPr>
          <w:rStyle w:val="cat-Dategrp-17rplc-78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№12-55-2/ЛК-2026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полном объеме не исполнено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осмотра от </w:t>
      </w:r>
      <w:r>
        <w:rPr>
          <w:rStyle w:val="cat-Dategrp-25rplc-79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где выявлены 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выявленных нарушений решено выдать управляющей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OrganizationNamegrp-36rplc-80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предписание об устранении выявленных нарушениях. Протокол содержит подпись представителя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OrganizationNamegrp-36rplc-81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Исследованные доказательства признаются соответствующими требованиям </w:t>
      </w:r>
      <w:r>
        <w:rPr>
          <w:rFonts w:ascii="Times New Roman" w:eastAsia="Times New Roman" w:hAnsi="Times New Roman" w:cs="Times New Roman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26.2 и 26.11 КоАП РФ</w:t>
      </w:r>
      <w:r>
        <w:rPr>
          <w:rFonts w:ascii="Times New Roman" w:eastAsia="Times New Roman" w:hAnsi="Times New Roman" w:cs="Times New Roman"/>
          <w:sz w:val="27"/>
          <w:szCs w:val="27"/>
        </w:rPr>
        <w:t>, являются относимыми, допустимыми, достаточными для рассмотрения дела.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Содержание предписания административного органа предполагает указание на нарушенную норму закона, четкую формулировку относительно конкретных действий, которые необходимо совершить исполнителю, и которые должны быть направлены на прекращение и устранение выявленного нарушения. Предписание административного органа должно быть исполнимым.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 заявлением о продлении срока для исполнения предписания государственного надзорного органа </w:t>
      </w:r>
      <w:r>
        <w:rPr>
          <w:rStyle w:val="cat-OrganizationNamegrp-36rplc-82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обращалось, пояснения не направило.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при рассмотрении дела установлено, что </w:t>
      </w:r>
      <w:r>
        <w:rPr>
          <w:rStyle w:val="cat-OrganizationNamegrp-36rplc-83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выполнило в полном объеме </w:t>
      </w:r>
      <w:r>
        <w:rPr>
          <w:rFonts w:ascii="Times New Roman" w:eastAsia="Times New Roman" w:hAnsi="Times New Roman" w:cs="Times New Roman"/>
          <w:sz w:val="27"/>
          <w:szCs w:val="27"/>
        </w:rPr>
        <w:t>в установленный срок законное предписание органа, осуществляющего региональный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осударственный жилищный надзор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устранении нарушений жилищного законодательства в части содержания общего имущества в многоквартирных домах.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части 2 статьи 2.1 Кодекса Российской Федерации об административных правонарушениях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Срок исполнения предписания являлся достаточным для исполнения данных пунктов предписания, доказательств обратного не представлено.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 квалифицирует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бездействие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юридического лица - </w:t>
      </w:r>
      <w:r>
        <w:rPr>
          <w:rStyle w:val="cat-OrganizationNamegrp-36rplc-84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24 ст. 19.5 КоАП РФ, то есть ненадлежащее выполнение в установленный срок законного предписания органа, осуществляющего региональный г</w:t>
      </w:r>
      <w:r>
        <w:rPr>
          <w:rFonts w:ascii="Times New Roman" w:eastAsia="Times New Roman" w:hAnsi="Times New Roman" w:cs="Times New Roman"/>
          <w:sz w:val="27"/>
          <w:szCs w:val="27"/>
        </w:rPr>
        <w:t>осударственный жилищный надзор.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7"/>
          <w:szCs w:val="27"/>
        </w:rPr>
        <w:t>чч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1, 3.2, 3.3 ст. 4.1 КоАП РФ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административное правонарушение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сключительны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</w:t>
      </w:r>
      <w:r>
        <w:rPr>
          <w:rFonts w:ascii="Times New Roman" w:eastAsia="Times New Roman" w:hAnsi="Times New Roman" w:cs="Times New Roman"/>
          <w:sz w:val="27"/>
          <w:szCs w:val="27"/>
        </w:rPr>
        <w:t>ва</w:t>
      </w:r>
      <w:r>
        <w:rPr>
          <w:rFonts w:ascii="Times New Roman" w:eastAsia="Times New Roman" w:hAnsi="Times New Roman" w:cs="Times New Roman"/>
          <w:sz w:val="27"/>
          <w:szCs w:val="27"/>
        </w:rPr>
        <w:t>, связанны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</w:t>
      </w:r>
      <w:r>
        <w:rPr>
          <w:rFonts w:ascii="Times New Roman" w:eastAsia="Times New Roman" w:hAnsi="Times New Roman" w:cs="Times New Roman"/>
          <w:sz w:val="27"/>
          <w:szCs w:val="27"/>
        </w:rPr>
        <w:t>по делу не установлены, лицом, в отношении которого ведется производство по делу на таковые не указывалось, доказательств не представлялось.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Назначая административное наказание </w:t>
      </w:r>
      <w:r>
        <w:rPr>
          <w:rStyle w:val="cat-OrganizationNamegrp-36rplc-85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мировой судья учитывает характер совершенного им административного правонарушения и его последствия, конкретные обстоятельства дела, принятые </w:t>
      </w:r>
      <w:r>
        <w:rPr>
          <w:rStyle w:val="cat-OrganizationNamegrp-36rplc-86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меры по исполнению предписания </w:t>
      </w:r>
      <w:r>
        <w:rPr>
          <w:rFonts w:ascii="Times New Roman" w:eastAsia="Times New Roman" w:hAnsi="Times New Roman" w:cs="Times New Roman"/>
          <w:sz w:val="27"/>
          <w:szCs w:val="27"/>
        </w:rPr>
        <w:t>частично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характер производственной деятельности организации по упра</w:t>
      </w:r>
      <w:r>
        <w:rPr>
          <w:rFonts w:ascii="Times New Roman" w:eastAsia="Times New Roman" w:hAnsi="Times New Roman" w:cs="Times New Roman"/>
          <w:sz w:val="27"/>
          <w:szCs w:val="27"/>
        </w:rPr>
        <w:t>влению многоквартирными домами.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Однако по настоящему делу подлежит применению специальное правило части 2 статьи 4.1.2 КоАП РФ поскольку </w:t>
      </w:r>
      <w:r>
        <w:rPr>
          <w:rStyle w:val="cat-OrganizationNamegrp-36rplc-87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включено в единый реестр субъектов малого и среднего предпринимательства в качестве </w:t>
      </w:r>
      <w:r>
        <w:rPr>
          <w:rFonts w:ascii="Times New Roman" w:eastAsia="Times New Roman" w:hAnsi="Times New Roman" w:cs="Times New Roman"/>
          <w:sz w:val="27"/>
          <w:szCs w:val="27"/>
        </w:rPr>
        <w:t>микропредприятия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 момент совершения правонарушения (информация доступна в открытом источнике информационно - телекоммуникационной сети «Интернет» по адресу </w:t>
      </w:r>
      <w:r>
        <w:rPr>
          <w:rFonts w:ascii="Times New Roman" w:eastAsia="Times New Roman" w:hAnsi="Times New Roman" w:cs="Times New Roman"/>
          <w:sz w:val="27"/>
          <w:szCs w:val="27"/>
        </w:rPr>
        <w:t>https://rmsp.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alog.ru.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Поэтому при минимальном штрафе для юридического лица </w:t>
      </w:r>
      <w:r>
        <w:rPr>
          <w:rStyle w:val="cat-Sumgrp-32rplc-88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специальный минимальный размер составляет </w:t>
      </w:r>
      <w:r>
        <w:rPr>
          <w:rStyle w:val="cat-Sumgrp-33rplc-8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Применение частей 3.2 и 3.3 статьи 4.1 КоАП РФ для обоснования именно этого размера не требуется.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смягчающих административную ответственность в соответствии со ст. 4.2 Кодекса Российской Федерации об административных правонарушениях,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предусмотренных ст. 4.3 Кодекса Российской Федерации об административных правонарушениях, мировой судья не усматривает.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23.1, 29.9 – 29.11 КоАП РФ, мировой судья</w:t>
      </w:r>
    </w:p>
    <w:p>
      <w:pPr>
        <w:tabs>
          <w:tab w:val="center" w:pos="4677"/>
          <w:tab w:val="left" w:pos="6104"/>
        </w:tabs>
        <w:spacing w:before="0" w:after="0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ПОСТАНОВИЛ: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ab/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виновным </w:t>
      </w:r>
      <w:r>
        <w:rPr>
          <w:rStyle w:val="cat-OrganizationNamegrp-35rplc-90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административного правонарушения, предусмотренного ч. 24 ст. 19.5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>
        <w:rPr>
          <w:rStyle w:val="cat-Sumgrp-34rplc-91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Административный штраф подлежит уплате по следующим реквизитам: УФК по </w:t>
      </w:r>
      <w:r>
        <w:rPr>
          <w:rStyle w:val="cat-Addressgrp-10rplc-92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>
        <w:rPr>
          <w:rFonts w:ascii="Times New Roman" w:eastAsia="Times New Roman" w:hAnsi="Times New Roman" w:cs="Times New Roman"/>
          <w:sz w:val="27"/>
          <w:szCs w:val="27"/>
        </w:rPr>
        <w:t>Жилстройнадзор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Addressgrp-11rplc-93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л/с 04872005650) ИНН </w:t>
      </w:r>
      <w:r>
        <w:rPr>
          <w:rStyle w:val="cat-PhoneNumbergrp-42rplc-94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КПП </w:t>
      </w:r>
      <w:r>
        <w:rPr>
          <w:rStyle w:val="cat-PhoneNumbergrp-43rplc-95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казначейский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счет: </w:t>
      </w:r>
      <w:r>
        <w:rPr>
          <w:rFonts w:ascii="Times New Roman" w:eastAsia="Times New Roman" w:hAnsi="Times New Roman" w:cs="Times New Roman"/>
          <w:sz w:val="27"/>
          <w:szCs w:val="27"/>
        </w:rPr>
        <w:t>03100643000000018700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РКЦ Ханты-Мансийска </w:t>
      </w:r>
      <w:r>
        <w:rPr>
          <w:rStyle w:val="cat-Addressgrp-0rplc-9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БИК </w:t>
      </w:r>
      <w:r>
        <w:rPr>
          <w:rStyle w:val="cat-PhoneNumbergrp-44rplc-97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ОКТМО </w:t>
      </w:r>
      <w:r>
        <w:rPr>
          <w:rStyle w:val="cat-PhoneNumbergrp-45rplc-98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КБК </w:t>
      </w:r>
      <w:r>
        <w:rPr>
          <w:rStyle w:val="cat-PhoneNumbergrp-46rplc-99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PhoneNumbergrp-47rplc-100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УИН </w:t>
      </w:r>
      <w:r>
        <w:rPr>
          <w:rFonts w:ascii="Times New Roman" w:eastAsia="Times New Roman" w:hAnsi="Times New Roman" w:cs="Times New Roman"/>
          <w:sz w:val="27"/>
          <w:szCs w:val="27"/>
        </w:rPr>
        <w:t>0316373308102026171424471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части 5 статьи 32.2 КоАП РФ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на оплату штрафа судья, вынесший постановление, направляет копию постановления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ст.32.2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Ханты-Мансийский районный суд </w:t>
      </w:r>
      <w:r>
        <w:rPr>
          <w:rStyle w:val="cat-Addressgrp-1rplc-101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вручения или получения копии постановления.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/подпись/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Style w:val="cat-FIOgrp-29rplc-102"/>
          <w:rFonts w:ascii="Times New Roman" w:eastAsia="Times New Roman" w:hAnsi="Times New Roman" w:cs="Times New Roman"/>
          <w:sz w:val="27"/>
          <w:szCs w:val="27"/>
        </w:rPr>
        <w:t>фио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Копия верна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FIOgrp-29rplc-103"/>
          <w:rFonts w:ascii="Times New Roman" w:eastAsia="Times New Roman" w:hAnsi="Times New Roman" w:cs="Times New Roman"/>
          <w:sz w:val="27"/>
          <w:szCs w:val="27"/>
        </w:rPr>
        <w:t>фио</w:t>
      </w: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6876910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PAGE   \* MERGEFORMAT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PhoneNumbergrp-39rplc-0">
    <w:name w:val="cat-PhoneNumber grp-39 rplc-0"/>
    <w:basedOn w:val="DefaultParagraphFont"/>
  </w:style>
  <w:style w:type="character" w:customStyle="1" w:styleId="cat-PhoneNumbergrp-40rplc-1">
    <w:name w:val="cat-PhoneNumber grp-40 rplc-1"/>
    <w:basedOn w:val="DefaultParagraphFont"/>
  </w:style>
  <w:style w:type="character" w:customStyle="1" w:styleId="cat-Dategrp-12rplc-2">
    <w:name w:val="cat-Date grp-12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Dategrp-13rplc-4">
    <w:name w:val="cat-Date grp-13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FIOgrp-26rplc-6">
    <w:name w:val="cat-FIO grp-26 rplc-6"/>
    <w:basedOn w:val="DefaultParagraphFont"/>
  </w:style>
  <w:style w:type="character" w:customStyle="1" w:styleId="cat-Addressgrp-2rplc-7">
    <w:name w:val="cat-Address grp-2 rplc-7"/>
    <w:basedOn w:val="DefaultParagraphFont"/>
  </w:style>
  <w:style w:type="character" w:customStyle="1" w:styleId="cat-OrganizationNamegrp-35rplc-8">
    <w:name w:val="cat-OrganizationName grp-35 rplc-8"/>
    <w:basedOn w:val="DefaultParagraphFont"/>
  </w:style>
  <w:style w:type="character" w:customStyle="1" w:styleId="cat-OrganizationNamegrp-36rplc-9">
    <w:name w:val="cat-OrganizationName grp-36 rplc-9"/>
    <w:basedOn w:val="DefaultParagraphFont"/>
  </w:style>
  <w:style w:type="character" w:customStyle="1" w:styleId="cat-PhoneNumbergrp-41rplc-10">
    <w:name w:val="cat-PhoneNumber grp-41 rplc-10"/>
    <w:basedOn w:val="DefaultParagraphFont"/>
  </w:style>
  <w:style w:type="character" w:customStyle="1" w:styleId="cat-Dategrp-14rplc-11">
    <w:name w:val="cat-Date grp-14 rplc-11"/>
    <w:basedOn w:val="DefaultParagraphFont"/>
  </w:style>
  <w:style w:type="character" w:customStyle="1" w:styleId="cat-Addressgrp-3rplc-12">
    <w:name w:val="cat-Address grp-3 rplc-12"/>
    <w:basedOn w:val="DefaultParagraphFont"/>
  </w:style>
  <w:style w:type="character" w:customStyle="1" w:styleId="cat-Dategrp-15rplc-13">
    <w:name w:val="cat-Date grp-15 rplc-13"/>
    <w:basedOn w:val="DefaultParagraphFont"/>
  </w:style>
  <w:style w:type="character" w:customStyle="1" w:styleId="cat-OrganizationNamegrp-36rplc-14">
    <w:name w:val="cat-OrganizationName grp-36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Dategrp-16rplc-16">
    <w:name w:val="cat-Date grp-16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Dategrp-17rplc-18">
    <w:name w:val="cat-Date grp-17 rplc-18"/>
    <w:basedOn w:val="DefaultParagraphFont"/>
  </w:style>
  <w:style w:type="character" w:customStyle="1" w:styleId="cat-Dategrp-17rplc-19">
    <w:name w:val="cat-Date grp-17 rplc-19"/>
    <w:basedOn w:val="DefaultParagraphFont"/>
  </w:style>
  <w:style w:type="character" w:customStyle="1" w:styleId="cat-Dategrp-18rplc-20">
    <w:name w:val="cat-Date grp-18 rplc-20"/>
    <w:basedOn w:val="DefaultParagraphFont"/>
  </w:style>
  <w:style w:type="character" w:customStyle="1" w:styleId="cat-Dategrp-18rplc-21">
    <w:name w:val="cat-Date grp-18 rplc-21"/>
    <w:basedOn w:val="DefaultParagraphFont"/>
  </w:style>
  <w:style w:type="character" w:customStyle="1" w:styleId="cat-Timegrp-37rplc-22">
    <w:name w:val="cat-Time grp-37 rplc-22"/>
    <w:basedOn w:val="DefaultParagraphFont"/>
  </w:style>
  <w:style w:type="character" w:customStyle="1" w:styleId="cat-Dategrp-17rplc-23">
    <w:name w:val="cat-Date grp-17 rplc-23"/>
    <w:basedOn w:val="DefaultParagraphFont"/>
  </w:style>
  <w:style w:type="character" w:customStyle="1" w:styleId="cat-Addressgrp-4rplc-24">
    <w:name w:val="cat-Address grp-4 rplc-24"/>
    <w:basedOn w:val="DefaultParagraphFont"/>
  </w:style>
  <w:style w:type="character" w:customStyle="1" w:styleId="cat-Addressgrp-5rplc-25">
    <w:name w:val="cat-Address grp-5 rplc-25"/>
    <w:basedOn w:val="DefaultParagraphFont"/>
  </w:style>
  <w:style w:type="character" w:customStyle="1" w:styleId="cat-Addressgrp-6rplc-26">
    <w:name w:val="cat-Address grp-6 rplc-26"/>
    <w:basedOn w:val="DefaultParagraphFont"/>
  </w:style>
  <w:style w:type="character" w:customStyle="1" w:styleId="cat-Addressgrp-7rplc-27">
    <w:name w:val="cat-Address grp-7 rplc-27"/>
    <w:basedOn w:val="DefaultParagraphFont"/>
  </w:style>
  <w:style w:type="character" w:customStyle="1" w:styleId="cat-Addressgrp-7rplc-28">
    <w:name w:val="cat-Address grp-7 rplc-28"/>
    <w:basedOn w:val="DefaultParagraphFont"/>
  </w:style>
  <w:style w:type="character" w:customStyle="1" w:styleId="cat-Addressgrp-8rplc-29">
    <w:name w:val="cat-Address grp-8 rplc-29"/>
    <w:basedOn w:val="DefaultParagraphFont"/>
  </w:style>
  <w:style w:type="character" w:customStyle="1" w:styleId="cat-FIOgrp-27rplc-30">
    <w:name w:val="cat-FIO grp-27 rplc-30"/>
    <w:basedOn w:val="DefaultParagraphFont"/>
  </w:style>
  <w:style w:type="character" w:customStyle="1" w:styleId="cat-OrganizationNamegrp-36rplc-31">
    <w:name w:val="cat-OrganizationName grp-36 rplc-31"/>
    <w:basedOn w:val="DefaultParagraphFont"/>
  </w:style>
  <w:style w:type="character" w:customStyle="1" w:styleId="cat-Dategrp-15rplc-32">
    <w:name w:val="cat-Date grp-15 rplc-32"/>
    <w:basedOn w:val="DefaultParagraphFont"/>
  </w:style>
  <w:style w:type="character" w:customStyle="1" w:styleId="cat-FIOgrp-28rplc-33">
    <w:name w:val="cat-FIO grp-28 rplc-33"/>
    <w:basedOn w:val="DefaultParagraphFont"/>
  </w:style>
  <w:style w:type="character" w:customStyle="1" w:styleId="cat-Dategrp-15rplc-34">
    <w:name w:val="cat-Date grp-15 rplc-34"/>
    <w:basedOn w:val="DefaultParagraphFont"/>
  </w:style>
  <w:style w:type="character" w:customStyle="1" w:styleId="cat-OrganizationNamegrp-36rplc-35">
    <w:name w:val="cat-OrganizationName grp-36 rplc-35"/>
    <w:basedOn w:val="DefaultParagraphFont"/>
  </w:style>
  <w:style w:type="character" w:customStyle="1" w:styleId="cat-OrganizationNamegrp-36rplc-36">
    <w:name w:val="cat-OrganizationName grp-36 rplc-36"/>
    <w:basedOn w:val="DefaultParagraphFont"/>
  </w:style>
  <w:style w:type="character" w:customStyle="1" w:styleId="cat-OrganizationNamegrp-36rplc-37">
    <w:name w:val="cat-OrganizationName grp-36 rplc-37"/>
    <w:basedOn w:val="DefaultParagraphFont"/>
  </w:style>
  <w:style w:type="character" w:customStyle="1" w:styleId="cat-SumInWordsgrp-30rplc-38">
    <w:name w:val="cat-SumInWords grp-30 rplc-38"/>
    <w:basedOn w:val="DefaultParagraphFont"/>
  </w:style>
  <w:style w:type="character" w:customStyle="1" w:styleId="cat-SumInWordsgrp-31rplc-39">
    <w:name w:val="cat-SumInWords grp-31 rplc-39"/>
    <w:basedOn w:val="DefaultParagraphFont"/>
  </w:style>
  <w:style w:type="character" w:customStyle="1" w:styleId="cat-Dategrp-19rplc-40">
    <w:name w:val="cat-Date grp-19 rplc-40"/>
    <w:basedOn w:val="DefaultParagraphFont"/>
  </w:style>
  <w:style w:type="character" w:customStyle="1" w:styleId="cat-Dategrp-20rplc-41">
    <w:name w:val="cat-Date grp-20 rplc-41"/>
    <w:basedOn w:val="DefaultParagraphFont"/>
  </w:style>
  <w:style w:type="character" w:customStyle="1" w:styleId="cat-CarMakeModelgrp-38rplc-42">
    <w:name w:val="cat-CarMakeModel grp-38 rplc-42"/>
    <w:basedOn w:val="DefaultParagraphFont"/>
  </w:style>
  <w:style w:type="character" w:customStyle="1" w:styleId="cat-OrganizationNamegrp-36rplc-43">
    <w:name w:val="cat-OrganizationName grp-36 rplc-43"/>
    <w:basedOn w:val="DefaultParagraphFont"/>
  </w:style>
  <w:style w:type="character" w:customStyle="1" w:styleId="cat-OrganizationNamegrp-36rplc-44">
    <w:name w:val="cat-OrganizationName grp-36 rplc-44"/>
    <w:basedOn w:val="DefaultParagraphFont"/>
  </w:style>
  <w:style w:type="character" w:customStyle="1" w:styleId="cat-Addressgrp-4rplc-45">
    <w:name w:val="cat-Address grp-4 rplc-45"/>
    <w:basedOn w:val="DefaultParagraphFont"/>
  </w:style>
  <w:style w:type="character" w:customStyle="1" w:styleId="cat-Addressgrp-5rplc-46">
    <w:name w:val="cat-Address grp-5 rplc-46"/>
    <w:basedOn w:val="DefaultParagraphFont"/>
  </w:style>
  <w:style w:type="character" w:customStyle="1" w:styleId="cat-Addressgrp-6rplc-47">
    <w:name w:val="cat-Address grp-6 rplc-47"/>
    <w:basedOn w:val="DefaultParagraphFont"/>
  </w:style>
  <w:style w:type="character" w:customStyle="1" w:styleId="cat-OrganizationNamegrp-36rplc-48">
    <w:name w:val="cat-OrganizationName grp-36 rplc-48"/>
    <w:basedOn w:val="DefaultParagraphFont"/>
  </w:style>
  <w:style w:type="character" w:customStyle="1" w:styleId="cat-Dategrp-17rplc-49">
    <w:name w:val="cat-Date grp-17 rplc-49"/>
    <w:basedOn w:val="DefaultParagraphFont"/>
  </w:style>
  <w:style w:type="character" w:customStyle="1" w:styleId="cat-Dategrp-21rplc-50">
    <w:name w:val="cat-Date grp-21 rplc-50"/>
    <w:basedOn w:val="DefaultParagraphFont"/>
  </w:style>
  <w:style w:type="character" w:customStyle="1" w:styleId="cat-Dategrp-22rplc-51">
    <w:name w:val="cat-Date grp-22 rplc-51"/>
    <w:basedOn w:val="DefaultParagraphFont"/>
  </w:style>
  <w:style w:type="character" w:customStyle="1" w:styleId="cat-OrganizationNamegrp-36rplc-52">
    <w:name w:val="cat-OrganizationName grp-36 rplc-52"/>
    <w:basedOn w:val="DefaultParagraphFont"/>
  </w:style>
  <w:style w:type="character" w:customStyle="1" w:styleId="cat-Addressgrp-4rplc-53">
    <w:name w:val="cat-Address grp-4 rplc-53"/>
    <w:basedOn w:val="DefaultParagraphFont"/>
  </w:style>
  <w:style w:type="character" w:customStyle="1" w:styleId="cat-Addressgrp-5rplc-54">
    <w:name w:val="cat-Address grp-5 rplc-54"/>
    <w:basedOn w:val="DefaultParagraphFont"/>
  </w:style>
  <w:style w:type="character" w:customStyle="1" w:styleId="cat-Addressgrp-6rplc-55">
    <w:name w:val="cat-Address grp-6 rplc-55"/>
    <w:basedOn w:val="DefaultParagraphFont"/>
  </w:style>
  <w:style w:type="character" w:customStyle="1" w:styleId="cat-Dategrp-17rplc-56">
    <w:name w:val="cat-Date grp-17 rplc-56"/>
    <w:basedOn w:val="DefaultParagraphFont"/>
  </w:style>
  <w:style w:type="character" w:customStyle="1" w:styleId="cat-Dategrp-23rplc-57">
    <w:name w:val="cat-Date grp-23 rplc-57"/>
    <w:basedOn w:val="DefaultParagraphFont"/>
  </w:style>
  <w:style w:type="character" w:customStyle="1" w:styleId="cat-OrganizationNamegrp-36rplc-58">
    <w:name w:val="cat-OrganizationName grp-36 rplc-58"/>
    <w:basedOn w:val="DefaultParagraphFont"/>
  </w:style>
  <w:style w:type="character" w:customStyle="1" w:styleId="cat-Dategrp-18rplc-59">
    <w:name w:val="cat-Date grp-18 rplc-59"/>
    <w:basedOn w:val="DefaultParagraphFont"/>
  </w:style>
  <w:style w:type="character" w:customStyle="1" w:styleId="cat-Addressgrp-7rplc-60">
    <w:name w:val="cat-Address grp-7 rplc-60"/>
    <w:basedOn w:val="DefaultParagraphFont"/>
  </w:style>
  <w:style w:type="character" w:customStyle="1" w:styleId="cat-Addressgrp-7rplc-61">
    <w:name w:val="cat-Address grp-7 rplc-61"/>
    <w:basedOn w:val="DefaultParagraphFont"/>
  </w:style>
  <w:style w:type="character" w:customStyle="1" w:styleId="cat-Addressgrp-8rplc-62">
    <w:name w:val="cat-Address grp-8 rplc-62"/>
    <w:basedOn w:val="DefaultParagraphFont"/>
  </w:style>
  <w:style w:type="character" w:customStyle="1" w:styleId="cat-Dategrp-18rplc-63">
    <w:name w:val="cat-Date grp-18 rplc-63"/>
    <w:basedOn w:val="DefaultParagraphFont"/>
  </w:style>
  <w:style w:type="character" w:customStyle="1" w:styleId="cat-OrganizationNamegrp-36rplc-64">
    <w:name w:val="cat-OrganizationName grp-36 rplc-64"/>
    <w:basedOn w:val="DefaultParagraphFont"/>
  </w:style>
  <w:style w:type="character" w:customStyle="1" w:styleId="cat-OrganizationNamegrp-36rplc-65">
    <w:name w:val="cat-OrganizationName grp-36 rplc-65"/>
    <w:basedOn w:val="DefaultParagraphFont"/>
  </w:style>
  <w:style w:type="character" w:customStyle="1" w:styleId="cat-Dategrp-24rplc-66">
    <w:name w:val="cat-Date grp-24 rplc-66"/>
    <w:basedOn w:val="DefaultParagraphFont"/>
  </w:style>
  <w:style w:type="character" w:customStyle="1" w:styleId="cat-OrganizationNamegrp-36rplc-67">
    <w:name w:val="cat-OrganizationName grp-36 rplc-67"/>
    <w:basedOn w:val="DefaultParagraphFont"/>
  </w:style>
  <w:style w:type="character" w:customStyle="1" w:styleId="cat-Addressgrp-9rplc-68">
    <w:name w:val="cat-Address grp-9 rplc-68"/>
    <w:basedOn w:val="DefaultParagraphFont"/>
  </w:style>
  <w:style w:type="character" w:customStyle="1" w:styleId="cat-Addressgrp-1rplc-69">
    <w:name w:val="cat-Address grp-1 rplc-69"/>
    <w:basedOn w:val="DefaultParagraphFont"/>
  </w:style>
  <w:style w:type="character" w:customStyle="1" w:styleId="cat-Dategrp-17rplc-70">
    <w:name w:val="cat-Date grp-17 rplc-70"/>
    <w:basedOn w:val="DefaultParagraphFont"/>
  </w:style>
  <w:style w:type="character" w:customStyle="1" w:styleId="cat-Dategrp-16rplc-71">
    <w:name w:val="cat-Date grp-16 rplc-71"/>
    <w:basedOn w:val="DefaultParagraphFont"/>
  </w:style>
  <w:style w:type="character" w:customStyle="1" w:styleId="cat-Dategrp-23rplc-72">
    <w:name w:val="cat-Date grp-23 rplc-72"/>
    <w:basedOn w:val="DefaultParagraphFont"/>
  </w:style>
  <w:style w:type="character" w:customStyle="1" w:styleId="cat-Dategrp-18rplc-73">
    <w:name w:val="cat-Date grp-18 rplc-73"/>
    <w:basedOn w:val="DefaultParagraphFont"/>
  </w:style>
  <w:style w:type="character" w:customStyle="1" w:styleId="cat-Dategrp-17rplc-74">
    <w:name w:val="cat-Date grp-17 rplc-74"/>
    <w:basedOn w:val="DefaultParagraphFont"/>
  </w:style>
  <w:style w:type="character" w:customStyle="1" w:styleId="cat-Dategrp-18rplc-75">
    <w:name w:val="cat-Date grp-18 rplc-75"/>
    <w:basedOn w:val="DefaultParagraphFont"/>
  </w:style>
  <w:style w:type="character" w:customStyle="1" w:styleId="cat-Dategrp-18rplc-76">
    <w:name w:val="cat-Date grp-18 rplc-76"/>
    <w:basedOn w:val="DefaultParagraphFont"/>
  </w:style>
  <w:style w:type="character" w:customStyle="1" w:styleId="cat-Dategrp-18rplc-77">
    <w:name w:val="cat-Date grp-18 rplc-77"/>
    <w:basedOn w:val="DefaultParagraphFont"/>
  </w:style>
  <w:style w:type="character" w:customStyle="1" w:styleId="cat-Dategrp-17rplc-78">
    <w:name w:val="cat-Date grp-17 rplc-78"/>
    <w:basedOn w:val="DefaultParagraphFont"/>
  </w:style>
  <w:style w:type="character" w:customStyle="1" w:styleId="cat-Dategrp-25rplc-79">
    <w:name w:val="cat-Date grp-25 rplc-79"/>
    <w:basedOn w:val="DefaultParagraphFont"/>
  </w:style>
  <w:style w:type="character" w:customStyle="1" w:styleId="cat-OrganizationNamegrp-36rplc-80">
    <w:name w:val="cat-OrganizationName grp-36 rplc-80"/>
    <w:basedOn w:val="DefaultParagraphFont"/>
  </w:style>
  <w:style w:type="character" w:customStyle="1" w:styleId="cat-OrganizationNamegrp-36rplc-81">
    <w:name w:val="cat-OrganizationName grp-36 rplc-81"/>
    <w:basedOn w:val="DefaultParagraphFont"/>
  </w:style>
  <w:style w:type="character" w:customStyle="1" w:styleId="cat-OrganizationNamegrp-36rplc-82">
    <w:name w:val="cat-OrganizationName grp-36 rplc-82"/>
    <w:basedOn w:val="DefaultParagraphFont"/>
  </w:style>
  <w:style w:type="character" w:customStyle="1" w:styleId="cat-OrganizationNamegrp-36rplc-83">
    <w:name w:val="cat-OrganizationName grp-36 rplc-83"/>
    <w:basedOn w:val="DefaultParagraphFont"/>
  </w:style>
  <w:style w:type="character" w:customStyle="1" w:styleId="cat-OrganizationNamegrp-36rplc-84">
    <w:name w:val="cat-OrganizationName grp-36 rplc-84"/>
    <w:basedOn w:val="DefaultParagraphFont"/>
  </w:style>
  <w:style w:type="character" w:customStyle="1" w:styleId="cat-OrganizationNamegrp-36rplc-85">
    <w:name w:val="cat-OrganizationName grp-36 rplc-85"/>
    <w:basedOn w:val="DefaultParagraphFont"/>
  </w:style>
  <w:style w:type="character" w:customStyle="1" w:styleId="cat-OrganizationNamegrp-36rplc-86">
    <w:name w:val="cat-OrganizationName grp-36 rplc-86"/>
    <w:basedOn w:val="DefaultParagraphFont"/>
  </w:style>
  <w:style w:type="character" w:customStyle="1" w:styleId="cat-OrganizationNamegrp-36rplc-87">
    <w:name w:val="cat-OrganizationName grp-36 rplc-87"/>
    <w:basedOn w:val="DefaultParagraphFont"/>
  </w:style>
  <w:style w:type="character" w:customStyle="1" w:styleId="cat-Sumgrp-32rplc-88">
    <w:name w:val="cat-Sum grp-32 rplc-88"/>
    <w:basedOn w:val="DefaultParagraphFont"/>
  </w:style>
  <w:style w:type="character" w:customStyle="1" w:styleId="cat-Sumgrp-33rplc-89">
    <w:name w:val="cat-Sum grp-33 rplc-89"/>
    <w:basedOn w:val="DefaultParagraphFont"/>
  </w:style>
  <w:style w:type="character" w:customStyle="1" w:styleId="cat-OrganizationNamegrp-35rplc-90">
    <w:name w:val="cat-OrganizationName grp-35 rplc-90"/>
    <w:basedOn w:val="DefaultParagraphFont"/>
  </w:style>
  <w:style w:type="character" w:customStyle="1" w:styleId="cat-Sumgrp-34rplc-91">
    <w:name w:val="cat-Sum grp-34 rplc-91"/>
    <w:basedOn w:val="DefaultParagraphFont"/>
  </w:style>
  <w:style w:type="character" w:customStyle="1" w:styleId="cat-Addressgrp-10rplc-92">
    <w:name w:val="cat-Address grp-10 rplc-92"/>
    <w:basedOn w:val="DefaultParagraphFont"/>
  </w:style>
  <w:style w:type="character" w:customStyle="1" w:styleId="cat-Addressgrp-11rplc-93">
    <w:name w:val="cat-Address grp-11 rplc-93"/>
    <w:basedOn w:val="DefaultParagraphFont"/>
  </w:style>
  <w:style w:type="character" w:customStyle="1" w:styleId="cat-PhoneNumbergrp-42rplc-94">
    <w:name w:val="cat-PhoneNumber grp-42 rplc-94"/>
    <w:basedOn w:val="DefaultParagraphFont"/>
  </w:style>
  <w:style w:type="character" w:customStyle="1" w:styleId="cat-PhoneNumbergrp-43rplc-95">
    <w:name w:val="cat-PhoneNumber grp-43 rplc-95"/>
    <w:basedOn w:val="DefaultParagraphFont"/>
  </w:style>
  <w:style w:type="character" w:customStyle="1" w:styleId="cat-Addressgrp-0rplc-96">
    <w:name w:val="cat-Address grp-0 rplc-96"/>
    <w:basedOn w:val="DefaultParagraphFont"/>
  </w:style>
  <w:style w:type="character" w:customStyle="1" w:styleId="cat-PhoneNumbergrp-44rplc-97">
    <w:name w:val="cat-PhoneNumber grp-44 rplc-97"/>
    <w:basedOn w:val="DefaultParagraphFont"/>
  </w:style>
  <w:style w:type="character" w:customStyle="1" w:styleId="cat-PhoneNumbergrp-45rplc-98">
    <w:name w:val="cat-PhoneNumber grp-45 rplc-98"/>
    <w:basedOn w:val="DefaultParagraphFont"/>
  </w:style>
  <w:style w:type="character" w:customStyle="1" w:styleId="cat-PhoneNumbergrp-46rplc-99">
    <w:name w:val="cat-PhoneNumber grp-46 rplc-99"/>
    <w:basedOn w:val="DefaultParagraphFont"/>
  </w:style>
  <w:style w:type="character" w:customStyle="1" w:styleId="cat-PhoneNumbergrp-47rplc-100">
    <w:name w:val="cat-PhoneNumber grp-47 rplc-100"/>
    <w:basedOn w:val="DefaultParagraphFont"/>
  </w:style>
  <w:style w:type="character" w:customStyle="1" w:styleId="cat-Addressgrp-1rplc-101">
    <w:name w:val="cat-Address grp-1 rplc-101"/>
    <w:basedOn w:val="DefaultParagraphFont"/>
  </w:style>
  <w:style w:type="character" w:customStyle="1" w:styleId="cat-FIOgrp-29rplc-102">
    <w:name w:val="cat-FIO grp-29 rplc-102"/>
    <w:basedOn w:val="DefaultParagraphFont"/>
  </w:style>
  <w:style w:type="character" w:customStyle="1" w:styleId="cat-FIOgrp-29rplc-103">
    <w:name w:val="cat-FIO grp-29 rplc-10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839B1-01F2-47D7-B38F-EBE1AD1C98E7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